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71" w:rsidRDefault="004F4BF7">
      <w:r w:rsidRPr="000F66CC">
        <w:rPr>
          <w:noProof/>
          <w:color w:val="0000FF"/>
        </w:rPr>
        <w:drawing>
          <wp:inline distT="0" distB="0" distL="0" distR="0">
            <wp:extent cx="9076247" cy="5012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5271" w:rsidRDefault="00A95271">
      <w:r>
        <w:br w:type="page"/>
      </w:r>
    </w:p>
    <w:p w:rsidR="00A95271" w:rsidRDefault="00A95271">
      <w:r>
        <w:rPr>
          <w:noProof/>
        </w:rPr>
        <w:lastRenderedPageBreak/>
        <w:drawing>
          <wp:inline distT="0" distB="0" distL="0" distR="0" wp14:anchorId="3797B462" wp14:editId="51EFD457">
            <wp:extent cx="9206322" cy="507877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5271" w:rsidRDefault="00A95271">
      <w:r>
        <w:br w:type="page"/>
      </w:r>
    </w:p>
    <w:p w:rsidR="0020693D" w:rsidRDefault="00A95271">
      <w:r>
        <w:rPr>
          <w:noProof/>
          <w:color w:val="00B050"/>
        </w:rPr>
        <w:lastRenderedPageBreak/>
        <w:drawing>
          <wp:inline distT="0" distB="0" distL="0" distR="0" wp14:anchorId="206729C5" wp14:editId="30BA3BDD">
            <wp:extent cx="9251950" cy="5136900"/>
            <wp:effectExtent l="0" t="0" r="635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20693D" w:rsidSect="004F4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29" w:rsidRDefault="00357229" w:rsidP="004F4BF7">
      <w:pPr>
        <w:spacing w:after="0" w:line="240" w:lineRule="auto"/>
      </w:pPr>
      <w:r>
        <w:separator/>
      </w:r>
    </w:p>
  </w:endnote>
  <w:endnote w:type="continuationSeparator" w:id="0">
    <w:p w:rsidR="00357229" w:rsidRDefault="00357229" w:rsidP="004F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29" w:rsidRDefault="00357229" w:rsidP="004F4BF7">
      <w:pPr>
        <w:spacing w:after="0" w:line="240" w:lineRule="auto"/>
      </w:pPr>
      <w:r>
        <w:separator/>
      </w:r>
    </w:p>
  </w:footnote>
  <w:footnote w:type="continuationSeparator" w:id="0">
    <w:p w:rsidR="00357229" w:rsidRDefault="00357229" w:rsidP="004F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F7"/>
    <w:rsid w:val="000F66CC"/>
    <w:rsid w:val="001B181E"/>
    <w:rsid w:val="0020693D"/>
    <w:rsid w:val="00222A14"/>
    <w:rsid w:val="00357229"/>
    <w:rsid w:val="003906DC"/>
    <w:rsid w:val="004F4BF7"/>
    <w:rsid w:val="00684AFB"/>
    <w:rsid w:val="00A95271"/>
    <w:rsid w:val="00AC34B7"/>
    <w:rsid w:val="00C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8BD06-E4CC-4B58-ADAD-24069E28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BF7"/>
  </w:style>
  <w:style w:type="paragraph" w:styleId="a7">
    <w:name w:val="footer"/>
    <w:basedOn w:val="a"/>
    <w:link w:val="a8"/>
    <w:uiPriority w:val="99"/>
    <w:semiHidden/>
    <w:unhideWhenUsed/>
    <w:rsid w:val="004F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зарегистрированных актов заключения и расторжения браков за период 2010 - 2016 г 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accent6">
            <a:lumMod val="60000"/>
            <a:lumOff val="40000"/>
          </a:schemeClr>
        </a:solidFill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заключение брака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rgbClr val="FF0000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120-44A3-849B-14F853CACED3}"/>
              </c:ext>
            </c:extLst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20-44A3-849B-14F853CACED3}"/>
              </c:ext>
            </c:extLst>
          </c:dPt>
          <c:dPt>
            <c:idx val="3"/>
            <c:invertIfNegative val="0"/>
            <c:bubble3D val="0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120-44A3-849B-14F853CACED3}"/>
              </c:ext>
            </c:extLst>
          </c:dPt>
          <c:dPt>
            <c:idx val="4"/>
            <c:invertIfNegative val="0"/>
            <c:bubble3D val="0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120-44A3-849B-14F853CACED3}"/>
              </c:ext>
            </c:extLst>
          </c:dPt>
          <c:dPt>
            <c:idx val="5"/>
            <c:invertIfNegative val="0"/>
            <c:bubble3D val="0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120-44A3-849B-14F853CACED3}"/>
              </c:ext>
            </c:extLst>
          </c:dPt>
          <c:dLbls>
            <c:dLbl>
              <c:idx val="5"/>
              <c:layout>
                <c:manualLayout>
                  <c:x val="1.2597846859339143E-2"/>
                  <c:y val="-1.519174191264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20-44A3-849B-14F853CACED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1979758798075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20-44A3-849B-14F853CACED3}"/>
                </c:ext>
                <c:ext xmlns:c15="http://schemas.microsoft.com/office/drawing/2012/chart" uri="{CE6537A1-D6FC-4f65-9D91-7224C49458BB}"/>
              </c:extLst>
            </c:dLbl>
            <c:numFmt formatCode="#\ ?/?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160</c:v>
                </c:pt>
                <c:pt idx="1">
                  <c:v>177</c:v>
                </c:pt>
                <c:pt idx="2">
                  <c:v>140</c:v>
                </c:pt>
                <c:pt idx="3">
                  <c:v>123</c:v>
                </c:pt>
                <c:pt idx="4">
                  <c:v>138</c:v>
                </c:pt>
                <c:pt idx="5">
                  <c:v>118</c:v>
                </c:pt>
                <c:pt idx="6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120-44A3-849B-14F853CACE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расторжение брака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80</c:v>
                </c:pt>
                <c:pt idx="1">
                  <c:v>81</c:v>
                </c:pt>
                <c:pt idx="2">
                  <c:v>83</c:v>
                </c:pt>
                <c:pt idx="3">
                  <c:v>81</c:v>
                </c:pt>
                <c:pt idx="4">
                  <c:v>88</c:v>
                </c:pt>
                <c:pt idx="5">
                  <c:v>67</c:v>
                </c:pt>
                <c:pt idx="6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120-44A3-849B-14F853CACE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6742184"/>
        <c:axId val="366740616"/>
        <c:axId val="0"/>
      </c:bar3DChart>
      <c:catAx>
        <c:axId val="366742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66740616"/>
        <c:crosses val="autoZero"/>
        <c:auto val="1"/>
        <c:lblAlgn val="ctr"/>
        <c:lblOffset val="100"/>
        <c:noMultiLvlLbl val="0"/>
      </c:catAx>
      <c:valAx>
        <c:axId val="366740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674218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зарегистрированных актов рождения и смерти за период 2010 - 2016 г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8608681295166429E-2"/>
          <c:y val="0.15516871343820204"/>
          <c:w val="0.82592831317436033"/>
          <c:h val="0.758608373356100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443</c:v>
                </c:pt>
                <c:pt idx="1">
                  <c:v>367</c:v>
                </c:pt>
                <c:pt idx="2">
                  <c:v>386</c:v>
                </c:pt>
                <c:pt idx="3">
                  <c:v>440</c:v>
                </c:pt>
                <c:pt idx="4">
                  <c:v>379</c:v>
                </c:pt>
                <c:pt idx="5">
                  <c:v>357</c:v>
                </c:pt>
                <c:pt idx="6">
                  <c:v>338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4B5-437D-A206-8457568257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рождение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279</c:v>
                </c:pt>
                <c:pt idx="1">
                  <c:v>250</c:v>
                </c:pt>
                <c:pt idx="2">
                  <c:v>322</c:v>
                </c:pt>
                <c:pt idx="3">
                  <c:v>295</c:v>
                </c:pt>
                <c:pt idx="4">
                  <c:v>214</c:v>
                </c:pt>
                <c:pt idx="5">
                  <c:v>230</c:v>
                </c:pt>
                <c:pt idx="6">
                  <c:v>216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4B5-437D-A206-8457568257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6741400"/>
        <c:axId val="366740224"/>
      </c:lineChart>
      <c:catAx>
        <c:axId val="366741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66740224"/>
        <c:crosses val="autoZero"/>
        <c:auto val="1"/>
        <c:lblAlgn val="ctr"/>
        <c:lblOffset val="100"/>
        <c:noMultiLvlLbl val="0"/>
      </c:catAx>
      <c:valAx>
        <c:axId val="36674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66741400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  <a:ln>
          <a:solidFill>
            <a:srgbClr val="FF0000"/>
          </a:solidFill>
        </a:ln>
      </c:spPr>
    </c:plotArea>
    <c:legend>
      <c:legendPos val="r"/>
      <c:layout>
        <c:manualLayout>
          <c:xMode val="edge"/>
          <c:yMode val="edge"/>
          <c:x val="0.87617726166866661"/>
          <c:y val="0.51493214113006724"/>
          <c:w val="0.12382273833133366"/>
          <c:h val="0.1025424236075778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Рождаемость детей за 2016 год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детей за 11 месяцев 2016 года</c:v>
                </c:pt>
              </c:strCache>
            </c:strRef>
          </c:tx>
          <c:dPt>
            <c:idx val="0"/>
            <c:bubble3D val="0"/>
            <c:spPr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4A-4F65-B5D4-FC4EDAEAA1A1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4A-4F65-B5D4-FC4EDAEAA1A1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4A-4F65-B5D4-FC4EDAEAA1A1}"/>
              </c:ext>
            </c:extLst>
          </c:dPt>
          <c:dLbls>
            <c:dLbl>
              <c:idx val="0"/>
              <c:layout>
                <c:manualLayout>
                  <c:x val="-0.24343097280203996"/>
                  <c:y val="-0.16113834155897985"/>
                </c:manualLayout>
              </c:layout>
              <c:tx>
                <c:rich>
                  <a:bodyPr/>
                  <a:lstStyle/>
                  <a:p>
                    <a:r>
                      <a:rPr lang="ru-RU" sz="2000"/>
                      <a:t>130 чел. 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C4A-4F65-B5D4-FC4EDAEAA1A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298129574807343"/>
                  <c:y val="-8.232566024940674E-2"/>
                </c:manualLayout>
              </c:layout>
              <c:tx>
                <c:rich>
                  <a:bodyPr/>
                  <a:lstStyle/>
                  <a:p>
                    <a:r>
                      <a:rPr lang="ru-RU" sz="2000"/>
                      <a:t>58 чел.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C4A-4F65-B5D4-FC4EDAEAA1A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164221627108309E-2"/>
                  <c:y val="9.7867799419809345E-2"/>
                </c:manualLayout>
              </c:layout>
              <c:tx>
                <c:rich>
                  <a:bodyPr/>
                  <a:lstStyle/>
                  <a:p>
                    <a:r>
                      <a:rPr lang="ru-RU" sz="2000"/>
                      <a:t>28 чел.</a:t>
                    </a:r>
                    <a:endParaRPr lang="ru-RU" sz="24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C4A-4F65-B5D4-FC4EDAEAA1A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 брачным детям</c:v>
                </c:pt>
                <c:pt idx="1">
                  <c:v>установлено отцовство</c:v>
                </c:pt>
                <c:pt idx="2">
                  <c:v>дети матерей - одиночек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</c:v>
                </c:pt>
                <c:pt idx="1">
                  <c:v>58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C4A-4F65-B5D4-FC4EDAEAA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4973640847195344"/>
          <c:y val="0.47216196360622387"/>
          <c:w val="0.24912848237066607"/>
          <c:h val="0.1704436331360903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Адм Красрновишерского района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Антипина Светлана Гаврииловна</cp:lastModifiedBy>
  <cp:revision>2</cp:revision>
  <dcterms:created xsi:type="dcterms:W3CDTF">2017-02-28T03:16:00Z</dcterms:created>
  <dcterms:modified xsi:type="dcterms:W3CDTF">2017-02-28T03:16:00Z</dcterms:modified>
</cp:coreProperties>
</file>