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ОТЧЕТ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 муниципальных учреждений администрации Красновишерского муниципального района Пермского края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анализа состояния и перспектив развития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образования за 2015 год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Анализ состояния и перспектив развития системы образования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Вводная часть</w:t>
      </w:r>
    </w:p>
    <w:p w:rsidR="00B539AB" w:rsidRPr="00B539AB" w:rsidRDefault="00B539AB" w:rsidP="00B539A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Красновишерский муниципальный район занимает крайнее северо-восточное пространство Пермского края площадью 15,4 тысяч кв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составляет 9,4% от общей площади Пермского края. Расстояние от г. Красновишерска до краевого центра – </w:t>
      </w:r>
      <w:smartTag w:uri="urn:schemas-microsoft-com:office:smarttags" w:element="metricconverter">
        <w:smartTagPr>
          <w:attr w:name="ProductID" w:val="320 км"/>
        </w:smartTagPr>
        <w:r w:rsidRPr="00B53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320 км</w:t>
        </w:r>
      </w:smartTag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Район граничит на северо-западе с Чердынским районом, на юге – с Соликамским и Александровским районами, на востоке – со Свердловской областью, на севере – с Республикой Коми.</w:t>
      </w:r>
    </w:p>
    <w:p w:rsidR="00B539AB" w:rsidRPr="00B539AB" w:rsidRDefault="00B539AB" w:rsidP="00B53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Красновишерского муниципального района на 1 января 2016 года насчитывает 20 797 человек, что составляет 0,79 % населения Пермского края, в том числе по поселениям:</w:t>
      </w:r>
    </w:p>
    <w:p w:rsidR="00B539AB" w:rsidRPr="00B539AB" w:rsidRDefault="00B539AB" w:rsidP="00B53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Красновишерское городское поселение – 15991 человек;</w:t>
      </w:r>
    </w:p>
    <w:p w:rsidR="00B539AB" w:rsidRPr="00B539AB" w:rsidRDefault="00B539AB" w:rsidP="00B53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Верх-Язьвинское сельское поселение – 2332 человека;</w:t>
      </w:r>
    </w:p>
    <w:p w:rsidR="00B539AB" w:rsidRPr="00B539AB" w:rsidRDefault="00B539AB" w:rsidP="00B53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Усть-Язьвинское сельское поселение – 1324 человека;</w:t>
      </w:r>
    </w:p>
    <w:p w:rsidR="00B539AB" w:rsidRPr="00B539AB" w:rsidRDefault="00B539AB" w:rsidP="00B53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Вайское сельское поселение – 663 человека;</w:t>
      </w:r>
    </w:p>
    <w:p w:rsidR="00B539AB" w:rsidRPr="00B539AB" w:rsidRDefault="00B539AB" w:rsidP="00B539A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Вишерогорское сельское поселение – 483 человека.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39AB" w:rsidRPr="00B539AB" w:rsidRDefault="00B539AB" w:rsidP="00B5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мужчин, проживающих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в общей численности населения составляет 47%, доля женского населения района – 53%. </w:t>
      </w:r>
    </w:p>
    <w:p w:rsidR="00B539AB" w:rsidRPr="00B539AB" w:rsidRDefault="00B539AB" w:rsidP="00B53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 численность постоянного населения Красновишерского района снизилась на 383 человека. Естественный прирост имеет отрицательное значение (-86 чел.). Демографическая ситуация характеризуется снижением рождаемости на 5,0 % и снижением смертности на 3,7 % относительно к 2014 году. </w:t>
      </w:r>
    </w:p>
    <w:p w:rsidR="00B539AB" w:rsidRPr="00B539AB" w:rsidRDefault="00B539AB" w:rsidP="00B53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влияние на снижение численности постоянного населения Красновишерского района оказывает миграционный отток. За 2015 год на территорию прибыло 815 человек, выбыло 1114 человек. Основная причина оттока – отсутствие желаемой работы.</w:t>
      </w:r>
    </w:p>
    <w:p w:rsidR="00B539AB" w:rsidRPr="00B539AB" w:rsidRDefault="00B539AB" w:rsidP="00B53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ГКУ «Центр занятости населения по Красновишерскому району» численность экономически активного населения района (далее - ЭАН) равняется 9319 чел., что составляет 44,8 % общей численности проживающего населения. На 01.01.2016 г. зарегистрировано безработных граждан 835 человек (на 01.01.2015 г. – 909 чел.), уровень зарегистрированной безработицы 9,0 % (2014 – 8,7%). В городе Красновишерске уровень зарегистрированной безработицы составил 7% (на 01.01.2015 г. – 6,1 %.). Более кризисная ситуация наблюдается в сельских поселениях района. </w:t>
      </w:r>
    </w:p>
    <w:p w:rsidR="00B539AB" w:rsidRPr="00B539AB" w:rsidRDefault="00B539AB" w:rsidP="00B53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категориям рынка труда наибольшую долю составляют уволенные по собственному желанию – 34 %, высвобожденные с предприятий района – 15 %, длительно не работающие – 30 %. Доля женщин в общей численности безработных – 50 %.</w:t>
      </w:r>
      <w:proofErr w:type="gramEnd"/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состояния и перспектив развития системы образования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система образования функционировала в соответствии с Муниципальной программой «Развитие образования Красновишерского муниципального района на 2015 – 2017 годы», утверждённой постановлением администрации Красновишерского муниципального района Пермского края от 03.12.2014 № 1668.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Общедоступное бесплатное дошкольное образование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 образовательных учреждениях, реализующих образовательные программы дошкольного образования, предоставлялось 1300 детям из 1544, проживающих на территории района, в том числе 161 –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структурных подразделениях (дошкольных группах) 8 сельских общеобразовательных школ и 1139 – в 8 городских детских садах.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образование, а также присмотр и уход получали 84,2 % детей в возрасте от 1,5 до 7 лет (в 2014 году – 83,2 %, в 2013 году – 82,6 %), в том числе 98,2 % детей в возрасте от 3 до 7 лет.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родительской платы семей, имеющих статус СОП, позволило охватить дошкольным образованием 59 детей из семей, находящихся в социально-опасном положении, что составляет 95,2% (2014 г. – 88,8%). </w:t>
      </w:r>
    </w:p>
    <w:p w:rsidR="00B539AB" w:rsidRPr="00B539AB" w:rsidRDefault="00B539AB" w:rsidP="00B539AB">
      <w:pPr>
        <w:tabs>
          <w:tab w:val="left" w:pos="822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доступности дошкольного образования в Усть-Язьвинском и Верх-Язьвинском сельских поселениях МБОУ «Верх-Язьвинская СОШ» и МБОУ «Усть-Язьвинская СОШ» участвуют в реализации краевого проекта «Выездной воспитатель». В течение 2015 года образовательная услуга предоставлялась 12 детям от 2-х до 5-и лет пять дней в неделю в первой половине дня. </w:t>
      </w:r>
    </w:p>
    <w:p w:rsidR="00B539AB" w:rsidRPr="00B539AB" w:rsidRDefault="00B539AB" w:rsidP="00B539AB">
      <w:pPr>
        <w:tabs>
          <w:tab w:val="left" w:pos="822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актуальной очереди на предоставление места в ДОУ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муниципалитете продолжалась выплата ежемесячного пособия семьям, имеющим детей в возрасте от 1,5 до 5 лет, не посещающих муниципальные образовательные учреждения, реализующие образовательные программы дошкольного образования. Размер пособия -1130 рублей с учётом НДФЛ. </w:t>
      </w:r>
      <w:r w:rsidRPr="00B53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2015 году пособие выплачивалось только 2 категориям семей: имеющим детей в возрасте от 1,5 до 5 лет и проживающим в населенных пунктах, где отсутствуют образовательные учреждения, и имеющим детей в возрасте от 1,5 до 2 лет, не посещающих муниципальные образовательные учреждения, реализующие образовательные программы дошкольного образования. В 2015 году пособие выплачено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145</w:t>
      </w:r>
      <w:r w:rsidRPr="00B53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семьям (2014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188 </w:t>
      </w:r>
      <w:r w:rsidRPr="00B53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семей, 2013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200</w:t>
      </w:r>
      <w:r w:rsidRPr="00B53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семей).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бюджетных средств, направленных на исполнение полномочий, составил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109051 тыс.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из них за счет бюджета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96950 тыс.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устранение предписаний надзорных органов в дошкольных образовательных учреждениях направлено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3620,3</w:t>
      </w:r>
      <w:r w:rsidRPr="00B539A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тыс. рублей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1966,6</w:t>
      </w:r>
      <w:r w:rsidRPr="00B539A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тыс. рублей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районного бюджета.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содержания 1 ребенка (без учета расходов на устранение предписаний надзорных органов)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94007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(2014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78876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руб.).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посещаемость 1 ребенком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155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(2014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157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родительская плата за присмотр и уход детей составила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1617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(2014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1465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руб.), в дошкольных группах при сельских школах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945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(2014 год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798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руб.).</w:t>
      </w: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Общедоступное и бесплатное начальное общее, основное общее и среднее общее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в 13 общеобразовательных школах получали 2454 учащихся (2014 год – 2500, 2013 год – 2565), по адаптированным образовательным программам начального общего и основного общего образования в МБОУ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К)ШИ - 84 учащихся (2014 год – 87; 2013 год – 82).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базисного учебного плана реализован в полном объеме в 12 из 13 школ: не преподавался иностранный язык в 5-9-х классах МБОУ «Велсовская ООШ».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доступности и качества общего образования с 2013 года на территории Красновишерского муниципального района (на условиях конкурсного отбора муниципалитетов) реализуется краевой проект «Мобильный учитель». 2 учителя (английский язык, физическая культура) преподавали в 4 сельских школах.</w:t>
      </w:r>
    </w:p>
    <w:p w:rsidR="00B539AB" w:rsidRPr="00B539AB" w:rsidRDefault="00B539AB" w:rsidP="00B539AB">
      <w:pPr>
        <w:tabs>
          <w:tab w:val="left" w:pos="567"/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Завершено введение Федерального государственного образовательного стандарта начального общего образования: все учащиеся 1 – 4 классов получают начальное общее образование в соответствии с Федеральным государственным образовательным стандартом начального общего образования. С 1 сентября 2015 года все учащиеся 5-х классов обучаются в соответствии с Федеральным государственным образовательным стандартом основного общего образования. </w:t>
      </w:r>
    </w:p>
    <w:p w:rsidR="00B539AB" w:rsidRPr="00B539AB" w:rsidRDefault="00B539AB" w:rsidP="00B539AB">
      <w:pPr>
        <w:tabs>
          <w:tab w:val="left" w:pos="567"/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школ района: МАОУ ООШ № 4, МАОУ СОШ № 8, МБОУ СОШ № 1, МБОУ «Верх-Язьвинская СОШ» и МБОУ «Паршаковская СОШ» – были краевыми апробационными площадками по подготовке к введению ФГОС ООО. Остальные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общеобразовательные учреждения апробировали введение ФГОС ООО на муниципальном уровне. Разработаны программы апробационной деятельности по различным направлениям.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2014-2015 учебного года успеваемость составила 98,3 % (98,5 % в 2013 – 2014 учебном году), в том числе 36,5 % учащихся завершили учебный год на «4» и «5» (в 2014 году – 36,1 %). Пропуски по неуважительным причинам составили 0,1 % учебного времени.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59 Федерального закона от 29.12.2012 № 273-ФЗ «Об образовании в РФ» внешней независимой оценкой качества общего образования продолжают оставаться Единый государственный экзамен как форма государственной итоговой аттестации по образовательным программам среднего общего образования и Основной государственный экзамен – по образовательным программам основного общего образования.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210 выпускников 9 классов (100 %) были допущены к государственной итоговой аттестации по образовательным программам основного общего образования. Аттестаты об основном общем образовании получили 100 % выпускников 9 классов. Средний районный тестовый балл ГИА по обязательным предметам составил 50,6 балла (в 2014 году – 51,3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125 (100 %) выпускников 11 (12) классов были допущены к государственной итоговой аттестации. Аттестаты о среднем общем образовании получили 100 % выпускников 11 классов (в 2013-2014 учебном году - 100 %), допущенных к государственной итоговой аттестации. 5 выпускников (4 %) награждены медалью «За особые успехи в учении».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районный тестовый балл по всем предметам ЕГЭ составил 57 баллов (в 2014 году – 53,9).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ЕГЭ 9 выпускников (МАОУ СОШ № 8, МБОУ СОШ № 1, МБОУ «Верх-Язьвинская СОШ» набрали 225 и более баллов (в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году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proofErr w:type="gramEnd"/>
    </w:p>
    <w:p w:rsidR="00B539AB" w:rsidRPr="00B539AB" w:rsidRDefault="00B539AB" w:rsidP="00B539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апреле 2015 года прошли мониторинговые обследования в 4-х классах всех общеобразовательных учреждений района. В обследовании приняли участие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93 %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4 классов. Средние районные тестовые баллы практически одинаковые: по русскому языку – 46,7, по математике – 46,6.</w:t>
      </w:r>
      <w:r w:rsidRPr="00B539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Самые высокие в районе тестовые баллы: по русскому языку – 58,8 (МБОУ «Паршаковская СОШ»), по математике – 52,8 (МБОУ НОШ № 2).</w:t>
      </w:r>
    </w:p>
    <w:p w:rsidR="00B539AB" w:rsidRPr="00B539AB" w:rsidRDefault="00B539AB" w:rsidP="00B539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и средний уровень сформированности учебных достижений показали 54,4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B539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по русскому языку,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57,3 %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математике.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 сформированности учебных достижений зафиксирован по математике у 10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6</w:t>
      </w:r>
      <w:r w:rsidRPr="00B539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школ (4,1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%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), по русскому языку – у 9 учащихся 4 школ (3,8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%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). Низкий уровень сформированности учебных достижений не зафиксирован у обучающихся МБОУ НОШ № 2, МБОУ «Вайская СОШ», МБОУ «Верх-Язьвинская СОШ», МБОУ «Паршаковская СОШ», МБОУ «Североколчимская СОШ», МБОУ «Велсовская ООШ».</w:t>
      </w:r>
    </w:p>
    <w:p w:rsidR="00B539AB" w:rsidRPr="00B539AB" w:rsidRDefault="00B539AB" w:rsidP="00B539A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Контрольно-измерительные материалы мониторинговых обследований 2015 года позволяли оценить сформированность метапредметных результатов. Районный средний тестовый балл по данному показателю составил 45,9. Выше среднего по району показали </w:t>
      </w:r>
      <w:proofErr w:type="gramStart"/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МБОУ «Паршаковская СОШ» - 55,2, МАОУ СОШ № 8 – 48,3, МБОУ НОШ № 2 – 47,9 балла. </w:t>
      </w:r>
    </w:p>
    <w:p w:rsidR="00B539AB" w:rsidRPr="00B539AB" w:rsidRDefault="00B539AB" w:rsidP="00B539AB">
      <w:pPr>
        <w:tabs>
          <w:tab w:val="left" w:pos="567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реализации проекта «Стимулирование педагогических работников по результатам обучения школьников в 2014-2015 учебном году» («Ступени») три школы района вошли в число лучших школ края, получив дополнительное финансирование на стимулирование учителей: МБОУ НОШ № 2, МБОУ «Верх-Язьвинская СОШ», МАОУ СОШ № 8. Общий объем дополнительного финансирования составил 549539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расходы на исполнение полномочий составили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200729,0 тыс.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Стоимость содержания 1 учащегося, включая детей в дошкольной группе сельских школ, составила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74620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(без учета расходов на устранение предписаний надзорных органов) (в 2014 году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62008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.). 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устранение предписаний надзорных органов, подготовку школ к новому учебному году направлено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5015,7 тыс. рублей,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за счет средств местного бюджета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1731,1 тыс. рублей.</w:t>
      </w:r>
    </w:p>
    <w:p w:rsidR="00B539AB" w:rsidRPr="00B539AB" w:rsidRDefault="00B539AB" w:rsidP="00B539A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 школьный автобус марки «Газель» для подвоза обучающихся (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945 тыс. руб.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236,25 тыс. рублей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района).</w:t>
      </w: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Предоставление дополнительного образования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МАОУ ДО ЦДО. </w:t>
      </w: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в МАОУ ДО ЦДО функционировало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168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детских объединений различной направленности (в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2014 году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171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2013 году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175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в том числе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79</w:t>
      </w:r>
      <w:r w:rsidRPr="00B539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объединений (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999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учащихся) на базе ЦДО (в 2014 году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84 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группы,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1119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обучающихся, в 2013 году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78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групп,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1121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обучающихся) и структурного подразделения ДЮСШ.</w:t>
      </w: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востребованы объединения художественной (70 групп, 950 человек) и физкультурно-спортивной (50 групп, 770 человек) направленности (73,2 % от общего контингента).</w:t>
      </w:r>
    </w:p>
    <w:p w:rsidR="00B539AB" w:rsidRPr="00B539AB" w:rsidRDefault="00B539AB" w:rsidP="00B539AB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расходы по Центру дополнительного образования составили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23621,4 тыс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руб. (2014 году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18202,5 тыс.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.), стоимость содержания 1 воспитанника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9793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(2014 г. – </w:t>
      </w:r>
      <w:r w:rsidRPr="00B5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7746 руб</w:t>
      </w:r>
      <w:r w:rsidRPr="00B539AB">
        <w:rPr>
          <w:rFonts w:ascii="Times New Roman" w:eastAsia="Calibri" w:hAnsi="Times New Roman" w:cs="Times New Roman"/>
          <w:sz w:val="24"/>
          <w:szCs w:val="24"/>
          <w:lang w:eastAsia="ru-RU"/>
        </w:rPr>
        <w:t>.).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 было охвачено 2399</w:t>
      </w:r>
      <w:r w:rsidRPr="00B5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возрасте от 5 до 18 лет, что составляет 76,7 % (2013 г. – 71,6 %, 2014 г. – 76,6%).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районе созданы условия для выявления и поддержки одарённых детей: 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муниципальные мероприятия интеллектуальной направленности, обеспечивается участие победителей муниципальных этапов в краевых мероприятиях, выплачиваются премии.</w:t>
      </w: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615 учащихся 7-11-х классов приняли участие в муниципальном этапе Всероссийской олимпиады школьников по 18 общеобразовательным предметам, 413 школьников – в 12 муниципальных этапах краевых олимпиад, конкурсов, турниров интеллектуальной направленности.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58 учащихся 2-11-х классов приняли участие в краевых олимпиадах, конкурсах, турнирах, 12 – стали победителями и призёрами.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обучении, результативное участие в мероприятиях интеллектуальной, спортивной и творческой направленностей, активную жизненную позицию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учащихся общеобразовательных школ района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Знаком отличия Пермского края «Гордость Пермского края».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районный конкурс среди способной и талантливой молодёжи. В 2015 году победителями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школьников в трёх номинациях: «Творчество», «Интеллект», «Спорт».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Команда «Патриот» МАОУ ДО ЦДО в 2015 году впервые стала победителем краевой военно-патриотической игры «Зарница Прикамья», они представляли Пермский край в финале военно-спортивной игры «Зарница Поволжья», где заняли шестое место.</w:t>
      </w:r>
    </w:p>
    <w:p w:rsidR="00B539AB" w:rsidRPr="00B539AB" w:rsidRDefault="00B539AB" w:rsidP="00B539AB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2015 год по направлениям «Проведение мероприятий с детьми и педагогами» составили </w:t>
      </w: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246,3 тыс</w:t>
      </w:r>
      <w:proofErr w:type="gramStart"/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«Осуществление адресной поддержки и социальной защиты одарённых детей» - </w:t>
      </w: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169,0 тыс.руб</w:t>
      </w: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Выводы и заключения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 сферы деятельности: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создана оптимальная сеть образовательных учреждений. Все образовательные учреждения имеют лицензии на право осуществления образовательной деятельности.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инфраструктуры (строительство нового здания для МБОУ «Верх-Язьвинская СОШ»; строительство здания для МБОУ СОШ № 1).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уровень подготовки учащихся в системе общего образования.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>Высокий уровень использования информационных технологий в сфере оказания образовательных услуг населению.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общего образования детям с ОВЗ в соответствии с образовательным маршрутом, определенным ПМПК, в том числе в условиях МБОУ </w:t>
      </w:r>
      <w:proofErr w:type="gramStart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К)ШИ.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стороны сферы деятельности: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населения района, в том числе детского.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>В ряде отдаленных населённых пунктов района невозможно получить услугу дошкольного образования.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>Высокий уровень семейного и детского неблагополучия.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Высокая доля учащихся, обучающихся во 2 смену.</w:t>
      </w:r>
    </w:p>
    <w:p w:rsidR="00B539AB" w:rsidRPr="00B539AB" w:rsidRDefault="00B539AB" w:rsidP="00B539A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9AB">
        <w:rPr>
          <w:rFonts w:ascii="Times New Roman" w:eastAsia="Times New Roman" w:hAnsi="Times New Roman" w:cs="Times New Roman"/>
          <w:sz w:val="24"/>
          <w:szCs w:val="24"/>
        </w:rPr>
        <w:t>Ветшание имущественного комплекса образовательных учреждений района.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 педагогических кадров, непривлекательность территории для молодых педагогов.</w:t>
      </w:r>
    </w:p>
    <w:p w:rsidR="00B539AB" w:rsidRPr="00B539AB" w:rsidRDefault="00B539AB" w:rsidP="00B5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B539AB" w:rsidRPr="00B539AB" w:rsidRDefault="00B539AB" w:rsidP="00B5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СИСТЕМЫ ОБРАЗОВАНИЯ</w:t>
      </w:r>
    </w:p>
    <w:p w:rsidR="00B539AB" w:rsidRPr="00B539AB" w:rsidRDefault="00B539AB" w:rsidP="00B539A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142"/>
        <w:gridCol w:w="1276"/>
        <w:gridCol w:w="141"/>
        <w:gridCol w:w="1276"/>
      </w:tblGrid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Общее образование</w:t>
            </w: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и муниципальным образовательным организациям).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тяжелыми нарушениями речи;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зрения: слепые, слабовидящие;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умственной отсталостью (интеллектуальными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задержкой психического развития;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сложными дефектами (множественными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ограниченными возможностями здоровья.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туберкулезной интоксикацией;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болеющих;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008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008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комбинированной направленности.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1.5.3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тяжелыми нарушениями речи;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зрения: слепые, слабовидящие;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задержкой психического развития;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сложными дефектами (множественными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ограниченными возможностями здоровья.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оздоровительной направленности, в том числе для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воспитанников: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туберкулезной интоксикацией;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болеющих;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  <w:tcBorders>
              <w:bottom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rPr>
          <w:trHeight w:val="603"/>
        </w:trPr>
        <w:tc>
          <w:tcPr>
            <w:tcW w:w="7150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комбинированной направленности.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rPr>
          <w:trHeight w:val="603"/>
        </w:trPr>
        <w:tc>
          <w:tcPr>
            <w:tcW w:w="7150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1.5.5. Удельный вес числа организаций, имеющих в своем составе лекотеку, службу ранней помощи, консультационный пункт, в общем числе дошкольных образовательных организаций 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39AB" w:rsidRPr="00B539AB" w:rsidTr="00CE5E1B">
        <w:tc>
          <w:tcPr>
            <w:tcW w:w="7150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91,69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Материально-техническое и информационное обеспечение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тяжелыми нарушениями речи;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нарушениями зрения: слепые, слабовидящие;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задержкой психического развития;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сложными дефектами (множественными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ограниченными возможностями здоровья.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2.5.3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тяжелыми нарушениями речи;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зрения: слепые, слабовидящие;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задержкой психического развития;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нарушениями опорно-двигательного аппарата;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сложными дефектами (множественными нарушениями);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ограниченными возможностями здоровья.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2.5.4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учителя-логопеды;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педагоги;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тьюторы.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2.5.5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2.6.1 в ред. </w:t>
            </w:r>
            <w:hyperlink r:id="rId10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Приказа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29.06.2016 N 756)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математике;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 (профил)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2.6.2 в ред. </w:t>
            </w:r>
            <w:hyperlink r:id="rId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Приказа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29.06.2016 N 756)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математике;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2.6.4 в ред. </w:t>
            </w:r>
            <w:hyperlink r:id="rId12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Приказа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29.06.2016 N 756)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75,05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2.10.5. Удельный вес числа организаций, имеющих систему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видеонаблюдения,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5.2.2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1011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5.2.3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02.03.2015 N 135)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среднемесячной заработной плате в субъекте Российской Федерации.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12,78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39AB" w:rsidRPr="00B539AB" w:rsidTr="00CE5E1B">
        <w:tc>
          <w:tcPr>
            <w:tcW w:w="8567" w:type="dxa"/>
            <w:gridSpan w:val="4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Дополнительная информация о системе образования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9843" w:type="dxa"/>
            <w:gridSpan w:val="5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7150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276" w:type="dxa"/>
            <w:tcBorders>
              <w:bottom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blPrEx>
          <w:tblBorders>
            <w:insideH w:val="nil"/>
          </w:tblBorders>
        </w:tblPrEx>
        <w:tc>
          <w:tcPr>
            <w:tcW w:w="8567" w:type="dxa"/>
            <w:gridSpan w:val="4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5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Приказа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12.10.2015 N 1123)</w:t>
            </w:r>
          </w:p>
        </w:tc>
        <w:tc>
          <w:tcPr>
            <w:tcW w:w="1276" w:type="dxa"/>
            <w:tcBorders>
              <w:top w:val="nil"/>
            </w:tcBorders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исследование PIRLS.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TIMSS: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(4 класс);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(8 класс);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(4 класс);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(8 класс).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грамотность;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грамотность;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естественнонаучная грамотность.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платной основе. </w:t>
            </w:r>
            <w:hyperlink w:anchor="P1009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Социально-демографические характеристики и социальная </w:t>
            </w: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интеграция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1009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Образование и занятость молодежи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B" w:rsidRPr="00B539AB" w:rsidTr="00CE5E1B">
        <w:tc>
          <w:tcPr>
            <w:tcW w:w="7150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11.4.1. </w:t>
            </w:r>
            <w:proofErr w:type="gramStart"/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1008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1009" w:history="1">
              <w:r w:rsidRPr="00B53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417" w:type="dxa"/>
            <w:gridSpan w:val="2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B539AB" w:rsidRPr="00B539AB" w:rsidRDefault="00B539AB" w:rsidP="00B53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539AB">
        <w:rPr>
          <w:rFonts w:ascii="Times New Roman" w:eastAsia="Times New Roman" w:hAnsi="Times New Roman" w:cs="Times New Roman"/>
          <w:szCs w:val="20"/>
          <w:lang w:eastAsia="ru-RU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1009"/>
      <w:bookmarkEnd w:id="0"/>
      <w:r w:rsidRPr="00B539A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&lt;**&gt; Сбор данных начинается с 2015 года.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1010"/>
      <w:bookmarkEnd w:id="1"/>
      <w:r w:rsidRPr="00B539AB">
        <w:rPr>
          <w:rFonts w:ascii="Times New Roman" w:eastAsia="Times New Roman" w:hAnsi="Times New Roman" w:cs="Times New Roman"/>
          <w:szCs w:val="20"/>
          <w:lang w:eastAsia="ru-RU"/>
        </w:rPr>
        <w:t xml:space="preserve">&lt;***&gt; По разделу также осуществляется сбор данных в соответствии с </w:t>
      </w:r>
      <w:hyperlink r:id="rId16" w:history="1">
        <w:r w:rsidRPr="00B539AB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показателями</w:t>
        </w:r>
      </w:hyperlink>
      <w:r w:rsidRPr="00B539AB">
        <w:rPr>
          <w:rFonts w:ascii="Times New Roman" w:eastAsia="Times New Roman" w:hAnsi="Times New Roman" w:cs="Times New Roman"/>
          <w:szCs w:val="20"/>
          <w:lang w:eastAsia="ru-RU"/>
        </w:rP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B539AB" w:rsidRPr="00B539AB" w:rsidRDefault="00B539AB" w:rsidP="00B5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2" w:name="P1011"/>
      <w:bookmarkEnd w:id="2"/>
      <w:r w:rsidRPr="00B539AB">
        <w:rPr>
          <w:rFonts w:ascii="Times New Roman" w:eastAsia="Times New Roman" w:hAnsi="Times New Roman" w:cs="Times New Roman"/>
          <w:szCs w:val="20"/>
          <w:lang w:eastAsia="ru-RU"/>
        </w:rPr>
        <w:t>&lt;****&gt; Сбор данных начинается с 2016 года.</w:t>
      </w:r>
    </w:p>
    <w:p w:rsidR="00B539AB" w:rsidRPr="00B539AB" w:rsidRDefault="00B539AB" w:rsidP="00B5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60" w:rsidRDefault="00015360">
      <w:bookmarkStart w:id="3" w:name="_GoBack"/>
      <w:bookmarkEnd w:id="3"/>
    </w:p>
    <w:sectPr w:rsidR="00015360" w:rsidSect="00230F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1D"/>
    <w:multiLevelType w:val="hybridMultilevel"/>
    <w:tmpl w:val="28BAD306"/>
    <w:lvl w:ilvl="0" w:tplc="DC02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D4C88"/>
    <w:multiLevelType w:val="hybridMultilevel"/>
    <w:tmpl w:val="B3E4DC22"/>
    <w:lvl w:ilvl="0" w:tplc="B400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1394A"/>
    <w:multiLevelType w:val="hybridMultilevel"/>
    <w:tmpl w:val="052CA576"/>
    <w:lvl w:ilvl="0" w:tplc="545A7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1938"/>
    <w:multiLevelType w:val="hybridMultilevel"/>
    <w:tmpl w:val="0ADCE2D8"/>
    <w:lvl w:ilvl="0" w:tplc="B308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F1A87"/>
    <w:multiLevelType w:val="hybridMultilevel"/>
    <w:tmpl w:val="E5EE6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14B"/>
    <w:multiLevelType w:val="hybridMultilevel"/>
    <w:tmpl w:val="19842DDA"/>
    <w:lvl w:ilvl="0" w:tplc="7DBE6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E4AC5"/>
    <w:multiLevelType w:val="hybridMultilevel"/>
    <w:tmpl w:val="997CA174"/>
    <w:lvl w:ilvl="0" w:tplc="48B80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05DE7"/>
    <w:multiLevelType w:val="multilevel"/>
    <w:tmpl w:val="E1729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36879C9"/>
    <w:multiLevelType w:val="hybridMultilevel"/>
    <w:tmpl w:val="EFB6CD42"/>
    <w:lvl w:ilvl="0" w:tplc="25B8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D54859"/>
    <w:multiLevelType w:val="hybridMultilevel"/>
    <w:tmpl w:val="308CC8CC"/>
    <w:lvl w:ilvl="0" w:tplc="AC9C5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562D71"/>
    <w:multiLevelType w:val="multilevel"/>
    <w:tmpl w:val="E1CAB6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5E361318"/>
    <w:multiLevelType w:val="singleLevel"/>
    <w:tmpl w:val="5204E0D0"/>
    <w:lvl w:ilvl="0">
      <w:start w:val="1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63F4552B"/>
    <w:multiLevelType w:val="hybridMultilevel"/>
    <w:tmpl w:val="92288C6E"/>
    <w:lvl w:ilvl="0" w:tplc="A26C7E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3F1D27"/>
    <w:multiLevelType w:val="hybridMultilevel"/>
    <w:tmpl w:val="E16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69D4"/>
    <w:multiLevelType w:val="hybridMultilevel"/>
    <w:tmpl w:val="23422318"/>
    <w:lvl w:ilvl="0" w:tplc="5DEA7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0F5085"/>
    <w:multiLevelType w:val="hybridMultilevel"/>
    <w:tmpl w:val="5DFE64BC"/>
    <w:lvl w:ilvl="0" w:tplc="55E497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53D2E"/>
    <w:multiLevelType w:val="multilevel"/>
    <w:tmpl w:val="B658F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F"/>
    <w:rsid w:val="00015360"/>
    <w:rsid w:val="00B539AB"/>
    <w:rsid w:val="00E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39AB"/>
  </w:style>
  <w:style w:type="character" w:styleId="a3">
    <w:name w:val="Hyperlink"/>
    <w:rsid w:val="00B539AB"/>
    <w:rPr>
      <w:color w:val="0000FF"/>
      <w:u w:val="single"/>
    </w:rPr>
  </w:style>
  <w:style w:type="paragraph" w:styleId="10">
    <w:name w:val="index 1"/>
    <w:basedOn w:val="a"/>
    <w:next w:val="a"/>
    <w:autoRedefine/>
    <w:semiHidden/>
    <w:rsid w:val="00B539AB"/>
    <w:pPr>
      <w:spacing w:before="120" w:after="0" w:line="240" w:lineRule="auto"/>
      <w:ind w:left="278" w:hanging="2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index heading"/>
    <w:basedOn w:val="a"/>
    <w:next w:val="10"/>
    <w:semiHidden/>
    <w:rsid w:val="00B53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53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39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5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539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B539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539A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53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3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539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53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docbaseattributestyle">
    <w:name w:val="defaultdocbaseattributestyle"/>
    <w:rsid w:val="00B539AB"/>
  </w:style>
  <w:style w:type="paragraph" w:customStyle="1" w:styleId="ConsPlusTitle">
    <w:name w:val="ConsPlusTitle"/>
    <w:rsid w:val="00B53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Нижн.колонтитул первый"/>
    <w:basedOn w:val="ad"/>
    <w:rsid w:val="00B539AB"/>
    <w:pPr>
      <w:keepLines/>
      <w:tabs>
        <w:tab w:val="clear" w:pos="4677"/>
        <w:tab w:val="clear" w:pos="9355"/>
        <w:tab w:val="center" w:pos="4320"/>
      </w:tabs>
      <w:jc w:val="center"/>
    </w:pPr>
    <w:rPr>
      <w:rFonts w:eastAsia="Calibri"/>
    </w:rPr>
  </w:style>
  <w:style w:type="paragraph" w:styleId="ad">
    <w:name w:val="footer"/>
    <w:basedOn w:val="a"/>
    <w:link w:val="ae"/>
    <w:rsid w:val="00B5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53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qFormat/>
    <w:rsid w:val="00B539A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539AB"/>
  </w:style>
  <w:style w:type="numbering" w:customStyle="1" w:styleId="111">
    <w:name w:val="Нет списка111"/>
    <w:next w:val="a2"/>
    <w:semiHidden/>
    <w:unhideWhenUsed/>
    <w:rsid w:val="00B539AB"/>
  </w:style>
  <w:style w:type="paragraph" w:styleId="af0">
    <w:name w:val="Title"/>
    <w:basedOn w:val="a"/>
    <w:link w:val="af1"/>
    <w:qFormat/>
    <w:rsid w:val="00B53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539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rsid w:val="00B5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539AB"/>
  </w:style>
  <w:style w:type="paragraph" w:customStyle="1" w:styleId="ConsPlusCell">
    <w:name w:val="ConsPlusCell"/>
    <w:rsid w:val="00B53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3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B5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B53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39AB"/>
  </w:style>
  <w:style w:type="character" w:styleId="a3">
    <w:name w:val="Hyperlink"/>
    <w:rsid w:val="00B539AB"/>
    <w:rPr>
      <w:color w:val="0000FF"/>
      <w:u w:val="single"/>
    </w:rPr>
  </w:style>
  <w:style w:type="paragraph" w:styleId="10">
    <w:name w:val="index 1"/>
    <w:basedOn w:val="a"/>
    <w:next w:val="a"/>
    <w:autoRedefine/>
    <w:semiHidden/>
    <w:rsid w:val="00B539AB"/>
    <w:pPr>
      <w:spacing w:before="120" w:after="0" w:line="240" w:lineRule="auto"/>
      <w:ind w:left="278" w:hanging="2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index heading"/>
    <w:basedOn w:val="a"/>
    <w:next w:val="10"/>
    <w:semiHidden/>
    <w:rsid w:val="00B53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53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39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5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539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B539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539A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53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3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539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53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docbaseattributestyle">
    <w:name w:val="defaultdocbaseattributestyle"/>
    <w:rsid w:val="00B539AB"/>
  </w:style>
  <w:style w:type="paragraph" w:customStyle="1" w:styleId="ConsPlusTitle">
    <w:name w:val="ConsPlusTitle"/>
    <w:rsid w:val="00B53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Нижн.колонтитул первый"/>
    <w:basedOn w:val="ad"/>
    <w:rsid w:val="00B539AB"/>
    <w:pPr>
      <w:keepLines/>
      <w:tabs>
        <w:tab w:val="clear" w:pos="4677"/>
        <w:tab w:val="clear" w:pos="9355"/>
        <w:tab w:val="center" w:pos="4320"/>
      </w:tabs>
      <w:jc w:val="center"/>
    </w:pPr>
    <w:rPr>
      <w:rFonts w:eastAsia="Calibri"/>
    </w:rPr>
  </w:style>
  <w:style w:type="paragraph" w:styleId="ad">
    <w:name w:val="footer"/>
    <w:basedOn w:val="a"/>
    <w:link w:val="ae"/>
    <w:rsid w:val="00B5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53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qFormat/>
    <w:rsid w:val="00B539A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539AB"/>
  </w:style>
  <w:style w:type="numbering" w:customStyle="1" w:styleId="111">
    <w:name w:val="Нет списка111"/>
    <w:next w:val="a2"/>
    <w:semiHidden/>
    <w:unhideWhenUsed/>
    <w:rsid w:val="00B539AB"/>
  </w:style>
  <w:style w:type="paragraph" w:styleId="af0">
    <w:name w:val="Title"/>
    <w:basedOn w:val="a"/>
    <w:link w:val="af1"/>
    <w:qFormat/>
    <w:rsid w:val="00B53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539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rsid w:val="00B5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539AB"/>
  </w:style>
  <w:style w:type="paragraph" w:customStyle="1" w:styleId="ConsPlusCell">
    <w:name w:val="ConsPlusCell"/>
    <w:rsid w:val="00B53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3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B5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B53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A3BE1816C05E5F37B91B578EB350F51CB5A361087ECF8AEC4D34377A51BEC47C9A3E5D20B5A3EW7qFJ" TargetMode="External"/><Relationship Id="rId13" Type="http://schemas.openxmlformats.org/officeDocument/2006/relationships/hyperlink" Target="consultantplus://offline/ref=15DA3BE1816C05E5F37B91B578EB350F51CB5A361087ECF8AEC4D34377A51BEC47C9A3E5D20B5B34W7q4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DA3BE1816C05E5F37B91B578EB350F51CB5A361087ECF8AEC4D34377A51BEC47C9A3E5D20B5A30W7qEJ" TargetMode="External"/><Relationship Id="rId12" Type="http://schemas.openxmlformats.org/officeDocument/2006/relationships/hyperlink" Target="consultantplus://offline/ref=15DA3BE1816C05E5F37B91B578EB350F52CC5C3F1183ECF8AEC4D34377A51BEC47C9A3E5D20B5A35W7q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DA3BE1816C05E5F37B91B578EB350F51C955331282ECF8AEC4D34377A51BEC47C9A3E5D20B5E35W7q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A3BE1816C05E5F37B91B578EB350F51CB5A361087ECF8AEC4D34377A51BEC47C9A3E5D20B5A36W7q7J" TargetMode="External"/><Relationship Id="rId11" Type="http://schemas.openxmlformats.org/officeDocument/2006/relationships/hyperlink" Target="consultantplus://offline/ref=15DA3BE1816C05E5F37B91B578EB350F52CC5C3F1183ECF8AEC4D34377A51BEC47C9A3E5D20B5A36W7q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DA3BE1816C05E5F37B91B578EB350F51C45A3F1984ECF8AEC4D34377A51BEC47C9A3E5D20B5A31W7qEJ" TargetMode="External"/><Relationship Id="rId10" Type="http://schemas.openxmlformats.org/officeDocument/2006/relationships/hyperlink" Target="consultantplus://offline/ref=15DA3BE1816C05E5F37B91B578EB350F52CC5C3F1183ECF8AEC4D34377A51BEC47C9A3E5D20B5A36W7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A3BE1816C05E5F37B91B578EB350F51CB5A361087ECF8AEC4D34377A51BEC47C9A3E5D20B5B36W7qEJ" TargetMode="External"/><Relationship Id="rId14" Type="http://schemas.openxmlformats.org/officeDocument/2006/relationships/hyperlink" Target="consultantplus://offline/ref=15DA3BE1816C05E5F37B91B578EB350F51CB5A361087ECF8AEC4D34377A51BEC47C9A3E5D20B5B34W7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6995</Words>
  <Characters>39876</Characters>
  <Application>Microsoft Office Word</Application>
  <DocSecurity>0</DocSecurity>
  <Lines>332</Lines>
  <Paragraphs>93</Paragraphs>
  <ScaleCrop>false</ScaleCrop>
  <Company>Управление муниципальными учреждениями</Company>
  <LinksUpToDate>false</LinksUpToDate>
  <CharactersWithSpaces>46778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</dc:creator>
  <cp:keywords/>
  <dc:description/>
  <cp:lastModifiedBy>Дюкова</cp:lastModifiedBy>
  <cp:revision>2</cp:revision>
  <dcterms:created xsi:type="dcterms:W3CDTF">2016-10-27T08:19:00Z</dcterms:created>
  <dcterms:modified xsi:type="dcterms:W3CDTF">2016-10-27T08:19:00Z</dcterms:modified>
</cp:coreProperties>
</file>